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210CE8B0"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00E914D4" w:rsidRPr="00AC6DD4">
        <w:rPr>
          <w:rFonts w:asciiTheme="minorEastAsia" w:eastAsiaTheme="minorEastAsia" w:hAnsiTheme="minorEastAsia" w:hint="eastAsia"/>
        </w:rPr>
        <w:t>(c1) 高出力EUV露光装置向けペリクル開発【ＧＸ】</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F99E681"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304EFE" w:rsidRPr="00304EFE">
        <w:rPr>
          <w:rFonts w:asciiTheme="minorEastAsia" w:eastAsiaTheme="minorEastAsia" w:hAnsiTheme="minorEastAsia" w:hint="eastAsia"/>
        </w:rPr>
        <w:t>1/2</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lastRenderedPageBreak/>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563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4EFE"/>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573"/>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3F6"/>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C6DD4"/>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E8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4AC"/>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4D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2D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63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3575</Words>
  <Characters>612</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4179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