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5D78B5" w:rsidRDefault="00360B02" w:rsidP="00AC7A3D">
      <w:pPr>
        <w:jc w:val="left"/>
        <w:rPr>
          <w:rFonts w:asciiTheme="minorEastAsia" w:eastAsiaTheme="minorEastAsia" w:hAnsiTheme="minorEastAsia" w:cs="Arial Unicode MS"/>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【加点対象認定】</w:t>
      </w:r>
    </w:p>
    <w:p w14:paraId="7A149E49" w14:textId="77777777" w:rsidR="00360B02" w:rsidRPr="005D78B5" w:rsidRDefault="00360B02" w:rsidP="00AC7A3D">
      <w:pPr>
        <w:jc w:val="left"/>
        <w:rPr>
          <w:rFonts w:asciiTheme="minorEastAsia" w:eastAsiaTheme="minorEastAsia" w:hAnsiTheme="minorEastAsia"/>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 xml:space="preserve">（参考：女性活躍推進法特集ページ　</w:t>
      </w:r>
      <w:hyperlink r:id="rId8" w:history="1">
        <w:r w:rsidRPr="005D78B5">
          <w:rPr>
            <w:rStyle w:val="afffd"/>
            <w:rFonts w:asciiTheme="minorEastAsia" w:eastAsiaTheme="minorEastAsia" w:hAnsiTheme="minorEastAsia"/>
            <w:i/>
            <w:iCs/>
            <w:color w:val="000000" w:themeColor="text1"/>
            <w:sz w:val="18"/>
            <w:szCs w:val="21"/>
          </w:rPr>
          <w:t>https://www.mhlw.go.jp/stf/seisakunitsuite/bunya/0000091025.html</w:t>
        </w:r>
      </w:hyperlink>
      <w:r w:rsidRPr="005D78B5">
        <w:rPr>
          <w:rFonts w:asciiTheme="minorEastAsia" w:eastAsiaTheme="minorEastAsia" w:hAnsiTheme="minorEastAsia" w:hint="eastAsia"/>
          <w:i/>
          <w:iCs/>
          <w:color w:val="000000" w:themeColor="text1"/>
          <w:sz w:val="18"/>
          <w:szCs w:val="21"/>
        </w:rPr>
        <w:t>）</w:t>
      </w:r>
    </w:p>
    <w:tbl>
      <w:tblPr>
        <w:tblStyle w:val="affff2"/>
        <w:tblW w:w="10207" w:type="dxa"/>
        <w:jc w:val="center"/>
        <w:tblLook w:val="04A0" w:firstRow="1" w:lastRow="0" w:firstColumn="1" w:lastColumn="0" w:noHBand="0" w:noVBand="1"/>
      </w:tblPr>
      <w:tblGrid>
        <w:gridCol w:w="4080"/>
        <w:gridCol w:w="6127"/>
      </w:tblGrid>
      <w:tr w:rsidR="005D78B5" w:rsidRPr="005D78B5" w14:paraId="7664BC89" w14:textId="77777777" w:rsidTr="00360B02">
        <w:trPr>
          <w:trHeight w:val="229"/>
          <w:jc w:val="center"/>
        </w:trPr>
        <w:tc>
          <w:tcPr>
            <w:tcW w:w="10207" w:type="dxa"/>
            <w:gridSpan w:val="2"/>
            <w:shd w:val="clear" w:color="auto" w:fill="auto"/>
            <w:vAlign w:val="center"/>
          </w:tcPr>
          <w:p w14:paraId="04095DEB" w14:textId="77777777" w:rsidR="00360B02" w:rsidRPr="005D78B5" w:rsidRDefault="00360B02" w:rsidP="00823A9F">
            <w:pPr>
              <w:pStyle w:val="affff3"/>
              <w:ind w:leftChars="0" w:left="0" w:firstLine="245"/>
              <w:jc w:val="cente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認定等の区分</w:t>
            </w:r>
          </w:p>
        </w:tc>
      </w:tr>
      <w:tr w:rsidR="005D78B5" w:rsidRPr="005D78B5" w14:paraId="69F5DC71" w14:textId="77777777" w:rsidTr="00360B02">
        <w:trPr>
          <w:trHeight w:val="271"/>
          <w:jc w:val="center"/>
        </w:trPr>
        <w:tc>
          <w:tcPr>
            <w:tcW w:w="4080" w:type="dxa"/>
            <w:vMerge w:val="restart"/>
            <w:vAlign w:val="center"/>
          </w:tcPr>
          <w:p w14:paraId="11A1CE8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女性の職業生活における活躍の推進に関する法律（女性活躍推進法）に基づく認定</w:t>
            </w:r>
          </w:p>
          <w:p w14:paraId="077BF2B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（えるぼし認定企業・プラチナえるぼし認定企業）</w:t>
            </w:r>
          </w:p>
        </w:tc>
        <w:tc>
          <w:tcPr>
            <w:tcW w:w="6126" w:type="dxa"/>
            <w:vAlign w:val="center"/>
          </w:tcPr>
          <w:p w14:paraId="391B5E1A"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プラチナえるぼし</w:t>
            </w:r>
            <w:r w:rsidRPr="005D78B5">
              <w:rPr>
                <w:rFonts w:asciiTheme="majorEastAsia" w:eastAsiaTheme="majorEastAsia" w:hAnsiTheme="majorEastAsia" w:hint="eastAsia"/>
                <w:i/>
                <w:iCs/>
                <w:color w:val="000000" w:themeColor="text1"/>
                <w:sz w:val="18"/>
                <w:szCs w:val="18"/>
                <w:vertAlign w:val="superscript"/>
              </w:rPr>
              <w:t>※1</w:t>
            </w:r>
          </w:p>
        </w:tc>
      </w:tr>
      <w:tr w:rsidR="005D78B5" w:rsidRPr="005D78B5" w14:paraId="6519C619" w14:textId="77777777" w:rsidTr="00360B02">
        <w:trPr>
          <w:trHeight w:val="57"/>
          <w:jc w:val="center"/>
        </w:trPr>
        <w:tc>
          <w:tcPr>
            <w:tcW w:w="4080" w:type="dxa"/>
            <w:vMerge/>
            <w:vAlign w:val="center"/>
          </w:tcPr>
          <w:p w14:paraId="1816C27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3C2EA918" w14:textId="77777777" w:rsidR="00360B02" w:rsidRPr="005D78B5" w:rsidRDefault="00360B02" w:rsidP="00823A9F">
            <w:pP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3段階目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5E7E2A26" w14:textId="77777777" w:rsidTr="00360B02">
        <w:trPr>
          <w:trHeight w:val="57"/>
          <w:jc w:val="center"/>
        </w:trPr>
        <w:tc>
          <w:tcPr>
            <w:tcW w:w="4080" w:type="dxa"/>
            <w:vMerge/>
            <w:vAlign w:val="center"/>
          </w:tcPr>
          <w:p w14:paraId="28D198C1"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0BDDFEA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2段階目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75E56138" w14:textId="77777777" w:rsidTr="00360B02">
        <w:trPr>
          <w:trHeight w:val="57"/>
          <w:jc w:val="center"/>
        </w:trPr>
        <w:tc>
          <w:tcPr>
            <w:tcW w:w="4080" w:type="dxa"/>
            <w:vMerge/>
            <w:vAlign w:val="center"/>
          </w:tcPr>
          <w:p w14:paraId="2923CE7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DB4A330"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1段階目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061442AE" w14:textId="77777777" w:rsidTr="00360B02">
        <w:trPr>
          <w:trHeight w:val="57"/>
          <w:jc w:val="center"/>
        </w:trPr>
        <w:tc>
          <w:tcPr>
            <w:tcW w:w="4080" w:type="dxa"/>
            <w:vMerge/>
            <w:vAlign w:val="center"/>
          </w:tcPr>
          <w:p w14:paraId="7BCF9A0D"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6655D689" w14:textId="77777777" w:rsidR="00360B02" w:rsidRPr="005D78B5" w:rsidRDefault="00360B02" w:rsidP="00823A9F">
            <w:pPr>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行動計画</w:t>
            </w:r>
            <w:r w:rsidRPr="005D78B5">
              <w:rPr>
                <w:rFonts w:asciiTheme="majorEastAsia" w:eastAsiaTheme="majorEastAsia" w:hAnsiTheme="majorEastAsia" w:hint="eastAsia"/>
                <w:i/>
                <w:iCs/>
                <w:color w:val="000000" w:themeColor="text1"/>
                <w:sz w:val="18"/>
                <w:szCs w:val="18"/>
                <w:vertAlign w:val="superscript"/>
              </w:rPr>
              <w:t>※3</w:t>
            </w:r>
          </w:p>
        </w:tc>
      </w:tr>
      <w:tr w:rsidR="005D78B5" w:rsidRPr="005D78B5" w14:paraId="2F0399C0" w14:textId="77777777" w:rsidTr="00360B02">
        <w:trPr>
          <w:trHeight w:val="296"/>
          <w:jc w:val="center"/>
        </w:trPr>
        <w:tc>
          <w:tcPr>
            <w:tcW w:w="4080" w:type="dxa"/>
            <w:vMerge w:val="restart"/>
            <w:vAlign w:val="center"/>
          </w:tcPr>
          <w:p w14:paraId="524EB8D2"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次世代育成支援対策推進法（次世代法）に基づく認定</w:t>
            </w:r>
          </w:p>
          <w:p w14:paraId="31151F3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（くるみん認定企業・プラチナくるみん認定企業・トライくるみん認定企業）</w:t>
            </w:r>
          </w:p>
        </w:tc>
        <w:tc>
          <w:tcPr>
            <w:tcW w:w="6126" w:type="dxa"/>
            <w:vAlign w:val="center"/>
          </w:tcPr>
          <w:p w14:paraId="125A588B"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プラチナくるみん</w:t>
            </w:r>
            <w:r w:rsidRPr="005D78B5">
              <w:rPr>
                <w:rFonts w:asciiTheme="majorEastAsia" w:eastAsiaTheme="majorEastAsia" w:hAnsiTheme="majorEastAsia" w:hint="eastAsia"/>
                <w:i/>
                <w:iCs/>
                <w:color w:val="000000" w:themeColor="text1"/>
                <w:sz w:val="18"/>
                <w:szCs w:val="18"/>
                <w:vertAlign w:val="superscript"/>
              </w:rPr>
              <w:t>※4</w:t>
            </w:r>
          </w:p>
        </w:tc>
      </w:tr>
      <w:tr w:rsidR="005D78B5" w:rsidRPr="005D78B5" w14:paraId="12000938" w14:textId="77777777" w:rsidTr="00360B02">
        <w:trPr>
          <w:trHeight w:val="91"/>
          <w:jc w:val="center"/>
        </w:trPr>
        <w:tc>
          <w:tcPr>
            <w:tcW w:w="4080" w:type="dxa"/>
            <w:vMerge/>
            <w:vAlign w:val="center"/>
          </w:tcPr>
          <w:p w14:paraId="382E18A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B7426C4"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くるみん（令和4年4月1日以降の基準）</w:t>
            </w:r>
            <w:r w:rsidRPr="005D78B5">
              <w:rPr>
                <w:rFonts w:asciiTheme="majorEastAsia" w:eastAsiaTheme="majorEastAsia" w:hAnsiTheme="majorEastAsia" w:hint="eastAsia"/>
                <w:i/>
                <w:iCs/>
                <w:color w:val="000000" w:themeColor="text1"/>
                <w:sz w:val="18"/>
                <w:szCs w:val="18"/>
                <w:vertAlign w:val="superscript"/>
              </w:rPr>
              <w:t>※5</w:t>
            </w:r>
          </w:p>
        </w:tc>
      </w:tr>
      <w:tr w:rsidR="005D78B5" w:rsidRPr="005D78B5" w14:paraId="67640CB1" w14:textId="77777777" w:rsidTr="00360B02">
        <w:trPr>
          <w:trHeight w:val="91"/>
          <w:jc w:val="center"/>
        </w:trPr>
        <w:tc>
          <w:tcPr>
            <w:tcW w:w="4080" w:type="dxa"/>
            <w:vMerge/>
            <w:vAlign w:val="center"/>
          </w:tcPr>
          <w:p w14:paraId="266E5EEB"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733C3256"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くるみん（平成29年4月1日～令和4年3月31日までの基準）</w:t>
            </w:r>
            <w:r w:rsidRPr="005D78B5">
              <w:rPr>
                <w:rFonts w:asciiTheme="majorEastAsia" w:eastAsiaTheme="majorEastAsia" w:hAnsiTheme="majorEastAsia" w:hint="eastAsia"/>
                <w:i/>
                <w:iCs/>
                <w:color w:val="000000" w:themeColor="text1"/>
                <w:sz w:val="18"/>
                <w:szCs w:val="18"/>
                <w:vertAlign w:val="superscript"/>
              </w:rPr>
              <w:t>※6</w:t>
            </w:r>
          </w:p>
        </w:tc>
      </w:tr>
      <w:tr w:rsidR="005D78B5" w:rsidRPr="005D78B5" w14:paraId="3FE3D6B1" w14:textId="77777777" w:rsidTr="00360B02">
        <w:trPr>
          <w:trHeight w:val="91"/>
          <w:jc w:val="center"/>
        </w:trPr>
        <w:tc>
          <w:tcPr>
            <w:tcW w:w="4080" w:type="dxa"/>
            <w:vMerge/>
            <w:vAlign w:val="center"/>
          </w:tcPr>
          <w:p w14:paraId="0447E175"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4A10258"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トライくるみん</w:t>
            </w:r>
            <w:r w:rsidRPr="005D78B5">
              <w:rPr>
                <w:rFonts w:asciiTheme="majorEastAsia" w:eastAsiaTheme="majorEastAsia" w:hAnsiTheme="majorEastAsia" w:hint="eastAsia"/>
                <w:i/>
                <w:iCs/>
                <w:color w:val="000000" w:themeColor="text1"/>
                <w:sz w:val="18"/>
                <w:szCs w:val="18"/>
                <w:vertAlign w:val="superscript"/>
              </w:rPr>
              <w:t>※7</w:t>
            </w:r>
          </w:p>
        </w:tc>
      </w:tr>
      <w:tr w:rsidR="005D78B5" w:rsidRPr="005D78B5" w14:paraId="5D55B9BD" w14:textId="77777777" w:rsidTr="00360B02">
        <w:trPr>
          <w:trHeight w:val="135"/>
          <w:jc w:val="center"/>
        </w:trPr>
        <w:tc>
          <w:tcPr>
            <w:tcW w:w="4080" w:type="dxa"/>
            <w:vMerge/>
            <w:vAlign w:val="center"/>
          </w:tcPr>
          <w:p w14:paraId="22B00D4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6FA59D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くるみん（平成29年3月31日までの基準）</w:t>
            </w:r>
            <w:r w:rsidRPr="005D78B5">
              <w:rPr>
                <w:rFonts w:asciiTheme="majorEastAsia" w:eastAsiaTheme="majorEastAsia" w:hAnsiTheme="majorEastAsia" w:hint="eastAsia"/>
                <w:i/>
                <w:iCs/>
                <w:color w:val="000000" w:themeColor="text1"/>
                <w:sz w:val="18"/>
                <w:szCs w:val="18"/>
                <w:vertAlign w:val="superscript"/>
              </w:rPr>
              <w:t>※8</w:t>
            </w:r>
          </w:p>
        </w:tc>
      </w:tr>
      <w:tr w:rsidR="005D78B5" w:rsidRPr="005D78B5" w14:paraId="31601C11" w14:textId="77777777" w:rsidTr="00360B02">
        <w:trPr>
          <w:trHeight w:val="219"/>
          <w:jc w:val="center"/>
        </w:trPr>
        <w:tc>
          <w:tcPr>
            <w:tcW w:w="10207" w:type="dxa"/>
            <w:gridSpan w:val="2"/>
            <w:vAlign w:val="center"/>
          </w:tcPr>
          <w:p w14:paraId="3CC374AE" w14:textId="77777777" w:rsidR="00360B02" w:rsidRPr="005D78B5" w:rsidRDefault="00360B02" w:rsidP="00360B02">
            <w:pPr>
              <w:ind w:left="22" w:hanging="11"/>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青少年の雇用の促進等に関する法律（若者雇用促進法）に基づく認定（ユースエール認定企業）</w:t>
            </w:r>
          </w:p>
        </w:tc>
      </w:tr>
    </w:tbl>
    <w:p w14:paraId="4F217E6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※2：女性活躍推進法第9条に基づく認定。なお、労働時間等の働き方に係る基準は満たすことが必要。</w:t>
      </w:r>
    </w:p>
    <w:p w14:paraId="68E8C6A9"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※3：常時雇用する労働者の数が100 人以下の事業主に限る（計画期間が満了していない行動計画を策定している場合のみ）。</w:t>
      </w:r>
    </w:p>
    <w:p w14:paraId="451A208E"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※4：次世代法第15条の2の規定に基づく認定</w:t>
      </w:r>
    </w:p>
    <w:p w14:paraId="165FB54A"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5D78B5" w:rsidRDefault="00360B02" w:rsidP="00AC7A3D">
      <w:pPr>
        <w:spacing w:line="240" w:lineRule="exact"/>
        <w:ind w:leftChars="-67" w:left="-141"/>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※7：次世代法第13条の規定に基づく認定のうち、新施行規則第4条第1項第3号及び第4号の規定に基づく認定</w:t>
      </w:r>
    </w:p>
    <w:p w14:paraId="53C65C3D" w14:textId="5C45F66D" w:rsidR="00DE61DD" w:rsidRPr="005D78B5" w:rsidRDefault="00AC7A3D" w:rsidP="001C513E">
      <w:pPr>
        <w:spacing w:line="240" w:lineRule="exact"/>
        <w:ind w:leftChars="-67" w:left="283" w:hanging="424"/>
        <w:rPr>
          <w:i/>
          <w:iCs/>
          <w:color w:val="000000" w:themeColor="text1"/>
        </w:rPr>
      </w:pPr>
      <w:r w:rsidRPr="005D78B5">
        <w:rPr>
          <w:rFonts w:ascii="ＭＳ 明朝" w:hAnsi="ＭＳ 明朝" w:hint="eastAsia"/>
          <w:i/>
          <w:iCs/>
          <w:color w:val="000000" w:themeColor="text1"/>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5D78B5"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B03"/>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84A"/>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82A"/>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C18"/>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8B5"/>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436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251</Words>
  <Characters>1431</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